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52" w:rsidRPr="00DA3825" w:rsidRDefault="00DA3825" w:rsidP="00DA3825">
      <w:pPr>
        <w:jc w:val="center"/>
        <w:rPr>
          <w:rFonts w:ascii="游ゴシック" w:eastAsia="游ゴシック" w:hAnsi="游ゴシック"/>
          <w:b/>
          <w:sz w:val="22"/>
        </w:rPr>
      </w:pPr>
      <w:r w:rsidRPr="00DA3825">
        <w:rPr>
          <w:rFonts w:ascii="游ゴシック" w:eastAsia="游ゴシック" w:hAnsi="游ゴシック" w:hint="eastAsia"/>
          <w:b/>
          <w:sz w:val="22"/>
        </w:rPr>
        <w:t>付表を記入するときの注意点</w:t>
      </w:r>
    </w:p>
    <w:tbl>
      <w:tblPr>
        <w:tblStyle w:val="a3"/>
        <w:tblW w:w="0" w:type="auto"/>
        <w:tblLook w:val="04A0" w:firstRow="1" w:lastRow="0" w:firstColumn="1" w:lastColumn="0" w:noHBand="0" w:noVBand="1"/>
      </w:tblPr>
      <w:tblGrid>
        <w:gridCol w:w="2263"/>
        <w:gridCol w:w="7705"/>
      </w:tblGrid>
      <w:tr w:rsidR="00DA3825" w:rsidRPr="00DA3825" w:rsidTr="00DA3825">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事業所の名称</w:t>
            </w:r>
          </w:p>
        </w:tc>
        <w:tc>
          <w:tcPr>
            <w:tcW w:w="7705"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指定申請書、付表、添付書類において、事業所の名称は全て一致していること。</w:t>
            </w:r>
          </w:p>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フリガナは、事業所の名称にひらがなやカタカナが含まれる場合も全て記入してください。数字やアルファベットについても正確にフリガナを記入してください。</w:t>
            </w:r>
          </w:p>
        </w:tc>
      </w:tr>
      <w:tr w:rsidR="00DA3825" w:rsidRPr="00DA3825" w:rsidTr="00DA3825">
        <w:tc>
          <w:tcPr>
            <w:tcW w:w="2263" w:type="dxa"/>
            <w:vAlign w:val="center"/>
          </w:tcPr>
          <w:p w:rsid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事業所の所在地</w:t>
            </w:r>
          </w:p>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管理者の住所</w:t>
            </w:r>
          </w:p>
        </w:tc>
        <w:tc>
          <w:tcPr>
            <w:tcW w:w="7705"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番地やビル等の名称まで正確に記入してください。</w:t>
            </w:r>
          </w:p>
        </w:tc>
      </w:tr>
      <w:tr w:rsidR="00DA3825" w:rsidRPr="00DA3825" w:rsidTr="00DA3825">
        <w:trPr>
          <w:trHeight w:val="565"/>
        </w:trPr>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定款又は寄付行為等</w:t>
            </w:r>
          </w:p>
        </w:tc>
        <w:tc>
          <w:tcPr>
            <w:tcW w:w="7705"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申請する事業が記載されている</w:t>
            </w:r>
            <w:r w:rsidR="00127E9C">
              <w:rPr>
                <w:rFonts w:ascii="游ゴシック" w:eastAsia="游ゴシック" w:hAnsi="游ゴシック" w:hint="eastAsia"/>
                <w:sz w:val="18"/>
                <w:szCs w:val="18"/>
              </w:rPr>
              <w:t>法人の定款</w:t>
            </w:r>
            <w:r w:rsidR="00127E9C">
              <w:rPr>
                <w:rFonts w:ascii="游ゴシック" w:eastAsia="游ゴシック" w:hAnsi="游ゴシック" w:hint="eastAsia"/>
                <w:sz w:val="18"/>
                <w:szCs w:val="18"/>
              </w:rPr>
              <w:t>の</w:t>
            </w:r>
            <w:r w:rsidRPr="00DA3825">
              <w:rPr>
                <w:rFonts w:ascii="游ゴシック" w:eastAsia="游ゴシック" w:hAnsi="游ゴシック" w:hint="eastAsia"/>
                <w:sz w:val="18"/>
                <w:szCs w:val="18"/>
              </w:rPr>
              <w:t>条項を記入してください。</w:t>
            </w:r>
          </w:p>
        </w:tc>
      </w:tr>
      <w:tr w:rsidR="00DA3825" w:rsidRPr="00DA3825" w:rsidTr="00DA3825">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常勤、非常勤</w:t>
            </w:r>
          </w:p>
        </w:tc>
        <w:tc>
          <w:tcPr>
            <w:tcW w:w="7705"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「常勤」とは、勤務時間が当該事業所において定められている常勤の従業者が勤務すべき時間数（１週間に勤務すべき時間数が</w:t>
            </w:r>
            <w:r w:rsidRPr="00DA3825">
              <w:rPr>
                <w:rFonts w:ascii="游ゴシック" w:eastAsia="游ゴシック" w:hAnsi="游ゴシック"/>
                <w:sz w:val="18"/>
                <w:szCs w:val="18"/>
              </w:rPr>
              <w:t>32時間を下回る場合は32時間を基本とする。）に達していることをいいます。</w:t>
            </w:r>
          </w:p>
          <w:p w:rsidR="00DA3825" w:rsidRPr="00DA3825" w:rsidRDefault="00DA3825" w:rsidP="00DA3825">
            <w:pPr>
              <w:ind w:leftChars="100" w:left="39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DA3825">
              <w:rPr>
                <w:rFonts w:ascii="游ゴシック" w:eastAsia="游ゴシック" w:hAnsi="游ゴシック" w:hint="eastAsia"/>
                <w:sz w:val="18"/>
                <w:szCs w:val="18"/>
              </w:rPr>
              <w:t>事業所の営業時間が</w:t>
            </w:r>
            <w:r w:rsidRPr="00DA3825">
              <w:rPr>
                <w:rFonts w:ascii="游ゴシック" w:eastAsia="游ゴシック" w:hAnsi="游ゴシック"/>
                <w:sz w:val="18"/>
                <w:szCs w:val="18"/>
              </w:rPr>
              <w:t>32時間を下回る場合は、営業時間を通して勤務する従業者は常勤で記入</w:t>
            </w:r>
            <w:r>
              <w:rPr>
                <w:rFonts w:ascii="游ゴシック" w:eastAsia="游ゴシック" w:hAnsi="游ゴシック" w:hint="eastAsia"/>
                <w:sz w:val="18"/>
                <w:szCs w:val="18"/>
              </w:rPr>
              <w:t>すること。ただし</w:t>
            </w:r>
            <w:r w:rsidRPr="00DA3825">
              <w:rPr>
                <w:rFonts w:ascii="游ゴシック" w:eastAsia="游ゴシック" w:hAnsi="游ゴシック"/>
                <w:sz w:val="18"/>
                <w:szCs w:val="18"/>
              </w:rPr>
              <w:t>常勤配置</w:t>
            </w:r>
            <w:r>
              <w:rPr>
                <w:rFonts w:ascii="游ゴシック" w:eastAsia="游ゴシック" w:hAnsi="游ゴシック" w:hint="eastAsia"/>
                <w:sz w:val="18"/>
                <w:szCs w:val="18"/>
              </w:rPr>
              <w:t>が</w:t>
            </w:r>
            <w:r w:rsidRPr="00DA3825">
              <w:rPr>
                <w:rFonts w:ascii="游ゴシック" w:eastAsia="游ゴシック" w:hAnsi="游ゴシック"/>
                <w:sz w:val="18"/>
                <w:szCs w:val="18"/>
              </w:rPr>
              <w:t>要件と</w:t>
            </w:r>
            <w:r>
              <w:rPr>
                <w:rFonts w:ascii="游ゴシック" w:eastAsia="游ゴシック" w:hAnsi="游ゴシック" w:hint="eastAsia"/>
                <w:sz w:val="18"/>
                <w:szCs w:val="18"/>
              </w:rPr>
              <w:t>なる</w:t>
            </w:r>
            <w:r w:rsidRPr="00DA3825">
              <w:rPr>
                <w:rFonts w:ascii="游ゴシック" w:eastAsia="游ゴシック" w:hAnsi="游ゴシック"/>
                <w:sz w:val="18"/>
                <w:szCs w:val="18"/>
              </w:rPr>
              <w:t>加算の算定はできません。</w:t>
            </w:r>
          </w:p>
        </w:tc>
      </w:tr>
      <w:tr w:rsidR="00DA3825" w:rsidRPr="00DA3825" w:rsidTr="00DA3825">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専従、兼務</w:t>
            </w:r>
          </w:p>
        </w:tc>
        <w:tc>
          <w:tcPr>
            <w:tcW w:w="7705" w:type="dxa"/>
            <w:vAlign w:val="center"/>
          </w:tcPr>
          <w:p w:rsidR="00DA3825" w:rsidRPr="00DA3825" w:rsidRDefault="00DA3825" w:rsidP="00DA3825">
            <w:pPr>
              <w:tabs>
                <w:tab w:val="left" w:pos="1631"/>
              </w:tabs>
              <w:rPr>
                <w:rFonts w:ascii="游ゴシック" w:eastAsia="游ゴシック" w:hAnsi="游ゴシック"/>
                <w:sz w:val="18"/>
                <w:szCs w:val="18"/>
              </w:rPr>
            </w:pPr>
            <w:r w:rsidRPr="00DA3825">
              <w:rPr>
                <w:rFonts w:ascii="游ゴシック" w:eastAsia="游ゴシック" w:hAnsi="游ゴシック" w:hint="eastAsia"/>
                <w:sz w:val="18"/>
                <w:szCs w:val="18"/>
              </w:rPr>
              <w:t>「専従」とは、原則としてサービス提供時間帯を通じて当該サービス以外の職務に従事しないことをいいます。</w:t>
            </w:r>
          </w:p>
        </w:tc>
      </w:tr>
      <w:tr w:rsidR="00DA3825" w:rsidRPr="00DA3825" w:rsidTr="00DA3825">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兼務の考え方</w:t>
            </w:r>
          </w:p>
        </w:tc>
        <w:tc>
          <w:tcPr>
            <w:tcW w:w="7705" w:type="dxa"/>
            <w:vAlign w:val="center"/>
          </w:tcPr>
          <w:p w:rsidR="00DA3825" w:rsidRPr="00DA3825" w:rsidRDefault="00DA3825" w:rsidP="00127E9C">
            <w:pPr>
              <w:tabs>
                <w:tab w:val="left" w:pos="1690"/>
              </w:tabs>
              <w:rPr>
                <w:rFonts w:ascii="游ゴシック" w:eastAsia="游ゴシック" w:hAnsi="游ゴシック"/>
                <w:sz w:val="18"/>
                <w:szCs w:val="18"/>
              </w:rPr>
            </w:pPr>
            <w:r w:rsidRPr="00DA3825">
              <w:rPr>
                <w:rFonts w:ascii="游ゴシック" w:eastAsia="游ゴシック" w:hAnsi="游ゴシック" w:hint="eastAsia"/>
                <w:sz w:val="18"/>
                <w:szCs w:val="18"/>
              </w:rPr>
              <w:t>相談支援専門員及び管理者の「兼務」は、本来業務と兼務する業務とを同時並行的に遂行できる状況にあることが必要です。勤務場所が離れていたり、兼務する業務が常勤換算</w:t>
            </w:r>
            <w:r w:rsidR="00127E9C">
              <w:rPr>
                <w:rFonts w:ascii="游ゴシック" w:eastAsia="游ゴシック" w:hAnsi="游ゴシック" w:hint="eastAsia"/>
                <w:sz w:val="18"/>
                <w:szCs w:val="18"/>
              </w:rPr>
              <w:t>で必要人員に</w:t>
            </w:r>
            <w:r w:rsidRPr="00DA3825">
              <w:rPr>
                <w:rFonts w:ascii="游ゴシック" w:eastAsia="游ゴシック" w:hAnsi="游ゴシック" w:hint="eastAsia"/>
                <w:sz w:val="18"/>
                <w:szCs w:val="18"/>
              </w:rPr>
              <w:t>組み込まれている場合は、兼務とは認められません。</w:t>
            </w:r>
            <w:r>
              <w:rPr>
                <w:rFonts w:ascii="游ゴシック" w:eastAsia="游ゴシック" w:hAnsi="游ゴシック" w:hint="eastAsia"/>
                <w:sz w:val="18"/>
                <w:szCs w:val="18"/>
              </w:rPr>
              <w:t>その場合、</w:t>
            </w:r>
            <w:r w:rsidRPr="00DA3825">
              <w:rPr>
                <w:rFonts w:ascii="游ゴシック" w:eastAsia="游ゴシック" w:hAnsi="游ゴシック" w:hint="eastAsia"/>
                <w:sz w:val="18"/>
                <w:szCs w:val="18"/>
              </w:rPr>
              <w:t>相談支援専門員</w:t>
            </w:r>
            <w:r>
              <w:rPr>
                <w:rFonts w:ascii="游ゴシック" w:eastAsia="游ゴシック" w:hAnsi="游ゴシック" w:hint="eastAsia"/>
                <w:sz w:val="18"/>
                <w:szCs w:val="18"/>
              </w:rPr>
              <w:t>であれば</w:t>
            </w:r>
            <w:r w:rsidRPr="00DA3825">
              <w:rPr>
                <w:rFonts w:ascii="游ゴシック" w:eastAsia="游ゴシック" w:hAnsi="游ゴシック" w:hint="eastAsia"/>
                <w:sz w:val="18"/>
                <w:szCs w:val="18"/>
              </w:rPr>
              <w:t>勤務時間を分けて非常勤・専従として勤務体制表を設定してください。</w:t>
            </w:r>
          </w:p>
        </w:tc>
      </w:tr>
      <w:tr w:rsidR="00DA3825" w:rsidRPr="00DA3825" w:rsidTr="00DA3825">
        <w:tc>
          <w:tcPr>
            <w:tcW w:w="2263" w:type="dxa"/>
            <w:vAlign w:val="center"/>
          </w:tcPr>
          <w:p w:rsidR="00DA3825" w:rsidRPr="00DA3825" w:rsidRDefault="00DA3825" w:rsidP="007A1302">
            <w:pPr>
              <w:rPr>
                <w:rFonts w:ascii="游ゴシック" w:eastAsia="游ゴシック" w:hAnsi="游ゴシック"/>
                <w:sz w:val="18"/>
                <w:szCs w:val="18"/>
              </w:rPr>
            </w:pPr>
            <w:r w:rsidRPr="00DA3825">
              <w:rPr>
                <w:rFonts w:ascii="游ゴシック" w:eastAsia="游ゴシック" w:hAnsi="游ゴシック" w:hint="eastAsia"/>
                <w:sz w:val="18"/>
                <w:szCs w:val="18"/>
              </w:rPr>
              <w:t>常勤換算後の人数</w:t>
            </w:r>
          </w:p>
        </w:tc>
        <w:tc>
          <w:tcPr>
            <w:tcW w:w="7705" w:type="dxa"/>
            <w:vAlign w:val="center"/>
          </w:tcPr>
          <w:p w:rsidR="00DA3825" w:rsidRPr="00DA3825" w:rsidRDefault="00DA3825" w:rsidP="00DA3825">
            <w:pPr>
              <w:tabs>
                <w:tab w:val="left" w:pos="1616"/>
              </w:tabs>
              <w:rPr>
                <w:rFonts w:ascii="游ゴシック" w:eastAsia="游ゴシック" w:hAnsi="游ゴシック"/>
                <w:sz w:val="18"/>
                <w:szCs w:val="18"/>
              </w:rPr>
            </w:pPr>
            <w:r w:rsidRPr="00DA3825">
              <w:rPr>
                <w:rFonts w:ascii="游ゴシック" w:eastAsia="游ゴシック" w:hAnsi="游ゴシック" w:hint="eastAsia"/>
                <w:sz w:val="18"/>
                <w:szCs w:val="18"/>
              </w:rPr>
              <w:t>常勤換算後の人数は、従業者の勤務延時間数を当該事業所において常勤の従業者が勤務すべき時間数（１週間に勤務すべき時間数が</w:t>
            </w:r>
            <w:r w:rsidRPr="00DA3825">
              <w:rPr>
                <w:rFonts w:ascii="游ゴシック" w:eastAsia="游ゴシック" w:hAnsi="游ゴシック"/>
                <w:sz w:val="18"/>
                <w:szCs w:val="18"/>
              </w:rPr>
              <w:t xml:space="preserve">32時間を下回る場合は32時間を基本とする。）で除することにより算出してください。 </w:t>
            </w:r>
          </w:p>
          <w:p w:rsidR="00DA3825" w:rsidRPr="00DA3825" w:rsidRDefault="00DA3825" w:rsidP="007A1302">
            <w:pPr>
              <w:tabs>
                <w:tab w:val="left" w:pos="1616"/>
              </w:tabs>
              <w:ind w:left="540" w:hangingChars="300" w:hanging="540"/>
              <w:rPr>
                <w:rFonts w:ascii="游ゴシック" w:eastAsia="游ゴシック" w:hAnsi="游ゴシック"/>
                <w:sz w:val="18"/>
                <w:szCs w:val="18"/>
              </w:rPr>
            </w:pPr>
            <w:r w:rsidRPr="00DA3825">
              <w:rPr>
                <w:rFonts w:ascii="游ゴシック" w:eastAsia="游ゴシック" w:hAnsi="游ゴシック" w:hint="eastAsia"/>
                <w:sz w:val="18"/>
                <w:szCs w:val="18"/>
              </w:rPr>
              <w:t>【例】</w:t>
            </w:r>
            <w:r w:rsidRPr="00DA3825">
              <w:rPr>
                <w:rFonts w:ascii="游ゴシック" w:eastAsia="游ゴシック" w:hAnsi="游ゴシック"/>
                <w:sz w:val="18"/>
                <w:szCs w:val="18"/>
              </w:rPr>
              <w:t xml:space="preserve"> 常勤を一人配置（勤務時間：40</w:t>
            </w:r>
            <w:r w:rsidR="007A1302">
              <w:rPr>
                <w:rFonts w:ascii="游ゴシック" w:eastAsia="游ゴシック" w:hAnsi="游ゴシック"/>
                <w:sz w:val="18"/>
                <w:szCs w:val="18"/>
              </w:rPr>
              <w:t>時間）し、非常勤の従業者</w:t>
            </w:r>
            <w:r w:rsidR="007A1302">
              <w:rPr>
                <w:rFonts w:ascii="游ゴシック" w:eastAsia="游ゴシック" w:hAnsi="游ゴシック" w:hint="eastAsia"/>
                <w:sz w:val="18"/>
                <w:szCs w:val="18"/>
              </w:rPr>
              <w:t>を</w:t>
            </w:r>
            <w:r w:rsidRPr="00DA3825">
              <w:rPr>
                <w:rFonts w:ascii="游ゴシック" w:eastAsia="游ゴシック" w:hAnsi="游ゴシック"/>
                <w:sz w:val="18"/>
                <w:szCs w:val="18"/>
              </w:rPr>
              <w:t>二人（１週間</w:t>
            </w:r>
            <w:r w:rsidRPr="00DA3825">
              <w:rPr>
                <w:rFonts w:ascii="游ゴシック" w:eastAsia="游ゴシック" w:hAnsi="游ゴシック" w:hint="eastAsia"/>
                <w:sz w:val="18"/>
                <w:szCs w:val="18"/>
              </w:rPr>
              <w:t>あたり</w:t>
            </w:r>
            <w:r w:rsidRPr="00DA3825">
              <w:rPr>
                <w:rFonts w:ascii="游ゴシック" w:eastAsia="游ゴシック" w:hAnsi="游ゴシック"/>
                <w:sz w:val="18"/>
                <w:szCs w:val="18"/>
              </w:rPr>
              <w:t>20時間と30時間）</w:t>
            </w:r>
            <w:r w:rsidR="007A1302">
              <w:rPr>
                <w:rFonts w:ascii="游ゴシック" w:eastAsia="游ゴシック" w:hAnsi="游ゴシック" w:hint="eastAsia"/>
                <w:sz w:val="18"/>
                <w:szCs w:val="18"/>
              </w:rPr>
              <w:t>配置した</w:t>
            </w:r>
            <w:r w:rsidRPr="00DA3825">
              <w:rPr>
                <w:rFonts w:ascii="游ゴシック" w:eastAsia="游ゴシック" w:hAnsi="游ゴシック"/>
                <w:sz w:val="18"/>
                <w:szCs w:val="18"/>
              </w:rPr>
              <w:t>場合</w:t>
            </w:r>
          </w:p>
          <w:p w:rsidR="00DA3825" w:rsidRDefault="00DA3825" w:rsidP="007A1302">
            <w:pPr>
              <w:tabs>
                <w:tab w:val="left" w:pos="1616"/>
              </w:tabs>
              <w:ind w:left="540" w:hangingChars="300" w:hanging="540"/>
              <w:rPr>
                <w:rFonts w:ascii="游ゴシック" w:eastAsia="游ゴシック" w:hAnsi="游ゴシック"/>
                <w:sz w:val="18"/>
                <w:szCs w:val="18"/>
              </w:rPr>
            </w:pPr>
            <w:r w:rsidRPr="00DA3825">
              <w:rPr>
                <w:rFonts w:ascii="游ゴシック" w:eastAsia="游ゴシック" w:hAnsi="游ゴシック" w:hint="eastAsia"/>
                <w:sz w:val="18"/>
                <w:szCs w:val="18"/>
              </w:rPr>
              <w:t xml:space="preserve">　　　常勤の欄に</w:t>
            </w:r>
            <w:r w:rsidRPr="00DA3825">
              <w:rPr>
                <w:rFonts w:ascii="游ゴシック" w:eastAsia="游ゴシック" w:hAnsi="游ゴシック"/>
                <w:sz w:val="18"/>
                <w:szCs w:val="18"/>
              </w:rPr>
              <w:t>1、非常勤の欄に2と記入し、常勤換算は2.25と記入してください。</w:t>
            </w:r>
          </w:p>
          <w:p w:rsidR="007A1302" w:rsidRPr="007A1302" w:rsidRDefault="007A1302" w:rsidP="007A1302">
            <w:pPr>
              <w:tabs>
                <w:tab w:val="left" w:pos="1616"/>
              </w:tabs>
              <w:ind w:left="540" w:hangingChars="300" w:hanging="540"/>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DA3825">
              <w:rPr>
                <w:rFonts w:ascii="游ゴシック" w:eastAsia="游ゴシック" w:hAnsi="游ゴシック" w:hint="eastAsia"/>
                <w:sz w:val="18"/>
                <w:szCs w:val="18"/>
              </w:rPr>
              <w:t>非常勤</w:t>
            </w:r>
            <w:r>
              <w:rPr>
                <w:rFonts w:ascii="游ゴシック" w:eastAsia="游ゴシック" w:hAnsi="游ゴシック" w:hint="eastAsia"/>
                <w:sz w:val="18"/>
                <w:szCs w:val="18"/>
              </w:rPr>
              <w:t>の常勤換算は</w:t>
            </w:r>
            <w:r w:rsidRPr="00DA3825">
              <w:rPr>
                <w:rFonts w:ascii="游ゴシック" w:eastAsia="游ゴシック" w:hAnsi="游ゴシック"/>
                <w:sz w:val="18"/>
                <w:szCs w:val="18"/>
              </w:rPr>
              <w:t>50時間÷40時間＝1.25</w:t>
            </w:r>
          </w:p>
        </w:tc>
      </w:tr>
      <w:tr w:rsidR="00DA3825" w:rsidRPr="00DA3825" w:rsidTr="00DA3825">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営業日・営業時間</w:t>
            </w:r>
          </w:p>
        </w:tc>
        <w:tc>
          <w:tcPr>
            <w:tcW w:w="7705"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電話での問い合わせや利用者からの相談、各種事務等、サービスの提供のほか、日常的な業務を行う日をいいます。運営規程と一致していること。</w:t>
            </w:r>
          </w:p>
        </w:tc>
      </w:tr>
      <w:tr w:rsidR="00DA3825" w:rsidRPr="00DA3825" w:rsidTr="00DA3825">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主たる対象者</w:t>
            </w:r>
          </w:p>
        </w:tc>
        <w:tc>
          <w:tcPr>
            <w:tcW w:w="7705" w:type="dxa"/>
            <w:vAlign w:val="center"/>
          </w:tcPr>
          <w:p w:rsidR="007A1302" w:rsidRDefault="00DA3825" w:rsidP="007A1302">
            <w:pPr>
              <w:rPr>
                <w:rFonts w:ascii="游ゴシック" w:eastAsia="游ゴシック" w:hAnsi="游ゴシック"/>
                <w:sz w:val="18"/>
                <w:szCs w:val="18"/>
              </w:rPr>
            </w:pPr>
            <w:r w:rsidRPr="00DA3825">
              <w:rPr>
                <w:rFonts w:ascii="游ゴシック" w:eastAsia="游ゴシック" w:hAnsi="游ゴシック" w:hint="eastAsia"/>
                <w:sz w:val="18"/>
                <w:szCs w:val="18"/>
              </w:rPr>
              <w:t>相談支援事業者は、障害の種類にかかわらず利用者を受け入れることが基本とされているので、正当な理由なく障害者を特定することはできません。</w:t>
            </w:r>
          </w:p>
          <w:p w:rsidR="007A1302" w:rsidRDefault="00DA3825" w:rsidP="007A1302">
            <w:pPr>
              <w:rPr>
                <w:rFonts w:ascii="游ゴシック" w:eastAsia="游ゴシック" w:hAnsi="游ゴシック"/>
                <w:sz w:val="18"/>
                <w:szCs w:val="18"/>
              </w:rPr>
            </w:pPr>
            <w:r w:rsidRPr="00DA3825">
              <w:rPr>
                <w:rFonts w:ascii="游ゴシック" w:eastAsia="游ゴシック" w:hAnsi="游ゴシック" w:hint="eastAsia"/>
                <w:sz w:val="18"/>
                <w:szCs w:val="18"/>
              </w:rPr>
              <w:t>サービスの専門性を確保するためやむを得ないと認められる場合</w:t>
            </w:r>
            <w:bookmarkStart w:id="0" w:name="_GoBack"/>
            <w:bookmarkEnd w:id="0"/>
            <w:r w:rsidRPr="00DA3825">
              <w:rPr>
                <w:rFonts w:ascii="游ゴシック" w:eastAsia="游ゴシック" w:hAnsi="游ゴシック" w:hint="eastAsia"/>
                <w:sz w:val="18"/>
                <w:szCs w:val="18"/>
              </w:rPr>
              <w:t>は特定することも可能ですが、その場合は、</w:t>
            </w:r>
            <w:r w:rsidR="007A1302">
              <w:rPr>
                <w:rFonts w:ascii="游ゴシック" w:eastAsia="游ゴシック" w:hAnsi="游ゴシック" w:hint="eastAsia"/>
                <w:sz w:val="18"/>
                <w:szCs w:val="18"/>
              </w:rPr>
              <w:t>（</w:t>
            </w:r>
            <w:r w:rsidR="007A1302" w:rsidRPr="00DA3825">
              <w:rPr>
                <w:rFonts w:ascii="游ゴシック" w:eastAsia="游ゴシック" w:hAnsi="游ゴシック" w:hint="eastAsia"/>
                <w:sz w:val="18"/>
                <w:szCs w:val="18"/>
              </w:rPr>
              <w:t>参考様式</w:t>
            </w:r>
            <w:r w:rsidR="007A1302" w:rsidRPr="00DA3825">
              <w:rPr>
                <w:rFonts w:ascii="游ゴシック" w:eastAsia="游ゴシック" w:hAnsi="游ゴシック"/>
                <w:sz w:val="18"/>
                <w:szCs w:val="18"/>
              </w:rPr>
              <w:t>10）</w:t>
            </w:r>
            <w:r w:rsidRPr="00DA3825">
              <w:rPr>
                <w:rFonts w:ascii="游ゴシック" w:eastAsia="游ゴシック" w:hAnsi="游ゴシック" w:hint="eastAsia"/>
                <w:sz w:val="18"/>
                <w:szCs w:val="18"/>
              </w:rPr>
              <w:t>「主たる対象者を特定する理由</w:t>
            </w:r>
            <w:r w:rsidRPr="00DA3825">
              <w:rPr>
                <w:rFonts w:ascii="游ゴシック" w:eastAsia="游ゴシック" w:hAnsi="游ゴシック"/>
                <w:sz w:val="18"/>
                <w:szCs w:val="18"/>
              </w:rPr>
              <w:t>」を提出してください。</w:t>
            </w:r>
          </w:p>
          <w:p w:rsidR="00DA3825" w:rsidRPr="00DA3825" w:rsidRDefault="00DA3825" w:rsidP="007A1302">
            <w:pPr>
              <w:rPr>
                <w:rFonts w:ascii="游ゴシック" w:eastAsia="游ゴシック" w:hAnsi="游ゴシック"/>
                <w:sz w:val="18"/>
                <w:szCs w:val="18"/>
              </w:rPr>
            </w:pPr>
            <w:r w:rsidRPr="00DA3825">
              <w:rPr>
                <w:rFonts w:ascii="游ゴシック" w:eastAsia="游ゴシック" w:hAnsi="游ゴシック"/>
                <w:sz w:val="18"/>
                <w:szCs w:val="18"/>
              </w:rPr>
              <w:t>また、付表裏面「総合的な相談支援の実施体制」の「２．主たる対象としていない種類の障害について対応できる体制の確保の状況」の項目に、他の事業所との連携体制等の状況を記入してください。</w:t>
            </w:r>
          </w:p>
        </w:tc>
      </w:tr>
      <w:tr w:rsidR="00DA3825" w:rsidRPr="00DA3825" w:rsidTr="007A1302">
        <w:trPr>
          <w:trHeight w:val="482"/>
        </w:trPr>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その他の費用</w:t>
            </w:r>
          </w:p>
        </w:tc>
        <w:tc>
          <w:tcPr>
            <w:tcW w:w="7705"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「運営規定に定めるとおり」と記載してください。</w:t>
            </w:r>
          </w:p>
        </w:tc>
      </w:tr>
      <w:tr w:rsidR="00DA3825" w:rsidRPr="00DA3825" w:rsidTr="007A1302">
        <w:trPr>
          <w:trHeight w:val="482"/>
        </w:trPr>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通常の事業実施地域</w:t>
            </w:r>
          </w:p>
        </w:tc>
        <w:tc>
          <w:tcPr>
            <w:tcW w:w="7705"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 xml:space="preserve">　運営規程と一致していること。</w:t>
            </w:r>
          </w:p>
        </w:tc>
      </w:tr>
      <w:tr w:rsidR="00DA3825" w:rsidRPr="00DA3825" w:rsidTr="00DA3825">
        <w:tc>
          <w:tcPr>
            <w:tcW w:w="2263" w:type="dxa"/>
            <w:vAlign w:val="center"/>
          </w:tcPr>
          <w:p w:rsidR="00DA3825" w:rsidRPr="00DA3825" w:rsidRDefault="00DA3825" w:rsidP="00DA3825">
            <w:pPr>
              <w:rPr>
                <w:rFonts w:ascii="游ゴシック" w:eastAsia="游ゴシック" w:hAnsi="游ゴシック"/>
                <w:sz w:val="18"/>
                <w:szCs w:val="18"/>
              </w:rPr>
            </w:pPr>
            <w:r w:rsidRPr="00DA3825">
              <w:rPr>
                <w:rFonts w:ascii="游ゴシック" w:eastAsia="游ゴシック" w:hAnsi="游ゴシック" w:hint="eastAsia"/>
                <w:sz w:val="18"/>
                <w:szCs w:val="18"/>
              </w:rPr>
              <w:t>総合的な相談支援の実施体制（付表裏面）</w:t>
            </w:r>
          </w:p>
        </w:tc>
        <w:tc>
          <w:tcPr>
            <w:tcW w:w="7705" w:type="dxa"/>
            <w:vAlign w:val="center"/>
          </w:tcPr>
          <w:p w:rsidR="00DA3825" w:rsidRPr="00DA3825" w:rsidRDefault="00DA3825" w:rsidP="007A1302">
            <w:pPr>
              <w:rPr>
                <w:rFonts w:ascii="游ゴシック" w:eastAsia="游ゴシック" w:hAnsi="游ゴシック"/>
                <w:sz w:val="18"/>
                <w:szCs w:val="18"/>
              </w:rPr>
            </w:pPr>
            <w:r w:rsidRPr="00DA3825">
              <w:rPr>
                <w:rFonts w:ascii="游ゴシック" w:eastAsia="游ゴシック" w:hAnsi="游ゴシック" w:hint="eastAsia"/>
                <w:sz w:val="18"/>
                <w:szCs w:val="18"/>
              </w:rPr>
              <w:t>１の「事業の主たる対象とする障害の特定」を「無」とした場合は、２の項目は記入する必要</w:t>
            </w:r>
            <w:r w:rsidR="007A1302">
              <w:rPr>
                <w:rFonts w:ascii="游ゴシック" w:eastAsia="游ゴシック" w:hAnsi="游ゴシック" w:hint="eastAsia"/>
                <w:sz w:val="18"/>
                <w:szCs w:val="18"/>
              </w:rPr>
              <w:t>が</w:t>
            </w:r>
            <w:r w:rsidRPr="00DA3825">
              <w:rPr>
                <w:rFonts w:ascii="游ゴシック" w:eastAsia="游ゴシック" w:hAnsi="游ゴシック" w:hint="eastAsia"/>
                <w:sz w:val="18"/>
                <w:szCs w:val="18"/>
              </w:rPr>
              <w:t>ありません。</w:t>
            </w:r>
          </w:p>
        </w:tc>
      </w:tr>
    </w:tbl>
    <w:p w:rsidR="00DA3825" w:rsidRPr="00DA3825" w:rsidRDefault="00DA3825" w:rsidP="00DA3825">
      <w:pPr>
        <w:rPr>
          <w:rFonts w:ascii="游ゴシック" w:eastAsia="游ゴシック" w:hAnsi="游ゴシック"/>
          <w:sz w:val="18"/>
          <w:szCs w:val="18"/>
        </w:rPr>
      </w:pPr>
    </w:p>
    <w:sectPr w:rsidR="00DA3825" w:rsidRPr="00DA3825" w:rsidSect="00106184">
      <w:pgSz w:w="11906" w:h="16838" w:code="9"/>
      <w:pgMar w:top="851" w:right="964" w:bottom="851"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25"/>
    <w:rsid w:val="000645F4"/>
    <w:rsid w:val="00106184"/>
    <w:rsid w:val="00127E9C"/>
    <w:rsid w:val="00193652"/>
    <w:rsid w:val="002821C2"/>
    <w:rsid w:val="007A1302"/>
    <w:rsid w:val="00B137C4"/>
    <w:rsid w:val="00DA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654FC4"/>
  <w15:chartTrackingRefBased/>
  <w15:docId w15:val="{3D87931B-D758-44A4-97F8-2A133557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61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61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祐之</dc:creator>
  <cp:keywords/>
  <dc:description/>
  <cp:lastModifiedBy>佐々木　祐之</cp:lastModifiedBy>
  <cp:revision>3</cp:revision>
  <cp:lastPrinted>2023-02-17T00:57:00Z</cp:lastPrinted>
  <dcterms:created xsi:type="dcterms:W3CDTF">2023-02-17T00:32:00Z</dcterms:created>
  <dcterms:modified xsi:type="dcterms:W3CDTF">2023-02-28T04:26:00Z</dcterms:modified>
</cp:coreProperties>
</file>